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Результати моніторингу ЗЗСО  за 2021/2022 навчальний рік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На початок 2021/2022 навчального року в закладі загальної середньої освіти  відкрито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26 (27)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класів, із них 1-4-х - 11 класів - 273 учні, 5-9-х - 12 класів  - 333 учні, 10-11-х - 3 класи – 71  учень.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У закладі освіти працює три інклюзивних класи: 1-ий клас, 2-ий клас, 4-ий клас; педагогічний патронаж: індивідуальне навчання: 2-ий клас – 1 учень,  6-ий клас – 2 учні, 8-ий клас – один учень; сімейна форма навчання: 11-ий клас  - один учень.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Станом на 05.09.2021 кількість учнів становила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679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717)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учнів. Середня наповнюваність учнів у класах складає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26,1 (26,5)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учнів. Станом на 27.05.2022 року  у школі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680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учнів. 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Освітній процес відбувався в одну зміну.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  <w:t xml:space="preserve">У школі ІІ-ІІІ ступеня виділені такі напрямки поглибленого: </w:t>
      </w:r>
      <w:r w:rsidDel="00000000" w:rsidR="00000000" w:rsidRPr="00000000">
        <w:rPr>
          <w:i w:val="1"/>
          <w:rtl w:val="0"/>
        </w:rPr>
        <w:t xml:space="preserve">економіка, українська мова та література,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інформатика </w:t>
      </w:r>
      <w:r w:rsidDel="00000000" w:rsidR="00000000" w:rsidRPr="00000000">
        <w:rPr>
          <w:rtl w:val="0"/>
        </w:rPr>
        <w:t xml:space="preserve">та профільного вивчення предметів: </w:t>
      </w:r>
      <w:r w:rsidDel="00000000" w:rsidR="00000000" w:rsidRPr="00000000">
        <w:rPr>
          <w:i w:val="1"/>
          <w:rtl w:val="0"/>
        </w:rPr>
        <w:t xml:space="preserve">економіка</w:t>
      </w:r>
      <w:r w:rsidDel="00000000" w:rsidR="00000000" w:rsidRPr="00000000">
        <w:rPr>
          <w:rtl w:val="0"/>
        </w:rPr>
        <w:t xml:space="preserve">,  </w:t>
      </w:r>
      <w:r w:rsidDel="00000000" w:rsidR="00000000" w:rsidRPr="00000000">
        <w:rPr>
          <w:i w:val="1"/>
          <w:rtl w:val="0"/>
        </w:rPr>
        <w:t xml:space="preserve">інформатика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За результатами  рейтингу участі учнівських команд у ІІ (міському) етапі Всеукраїнських олімпіад з базових дисциплін у 2021/2022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навчальному році  всього призових місць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третіх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місця, а саме: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інформатика, українська мова і література – два місця.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Участі у  Всеукраїнських конкурсах  у 2020/2021 навчальному році  - конкурс імені Тараса Шевченка та конкурс імені Петра Яцика не брали. У цей період місто перебувало у «червоній» карантинній зоні.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    Участь у фестивалі науки та робототехніки: «RoboTerra - робот на захисті планети», який організовано КЗ «Черкаська санаторна школа Черкаської обласної ради»: у номінації «Алея стартапів. Конкурс творчих ідей та технічних проєктів»    (10 - 17 років) команда школи «AQUA13» зайняла II місце.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   Участь шкільної команди «Чортова дюжина» у фіналі IV Регіонального турніру з фінансової грамотності та отримали ІІІ місце.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   Участь у регіональному літературному конкурсі «Крила української перемоги» роботи учасників відзначені дипломами в номінації «Патріотична поезія».</w:t>
      </w:r>
    </w:p>
    <w:p w:rsidR="00000000" w:rsidDel="00000000" w:rsidP="00000000" w:rsidRDefault="00000000" w:rsidRPr="00000000" w14:paraId="0000000C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   Проаналізувавши роботу вчителів із обдарованою молоддю слід зазначити, що переможцями олімпіад стали </w:t>
      </w:r>
      <w:r w:rsidDel="00000000" w:rsidR="00000000" w:rsidRPr="00000000">
        <w:rPr>
          <w:b w:val="1"/>
          <w:i w:val="1"/>
          <w:rtl w:val="0"/>
        </w:rPr>
        <w:t xml:space="preserve">3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3)  учні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що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становить 13,04%</w:t>
      </w:r>
      <w:r w:rsidDel="00000000" w:rsidR="00000000" w:rsidRPr="00000000">
        <w:rPr>
          <w:rtl w:val="0"/>
        </w:rPr>
        <w:t xml:space="preserve"> від кількості учнів  6-11-х класів, які представляли школу на ІІ-у (міському) етапі предметних олімпіад      </w:t>
      </w:r>
      <w:r w:rsidDel="00000000" w:rsidR="00000000" w:rsidRPr="00000000">
        <w:rPr>
          <w:b w:val="1"/>
          <w:i w:val="1"/>
          <w:rtl w:val="0"/>
        </w:rPr>
        <w:t xml:space="preserve">23 учні</w:t>
      </w:r>
      <w:r w:rsidDel="00000000" w:rsidR="00000000" w:rsidRPr="00000000">
        <w:rPr>
          <w:rtl w:val="0"/>
        </w:rPr>
        <w:t xml:space="preserve">  (</w:t>
      </w:r>
      <w:r w:rsidDel="00000000" w:rsidR="00000000" w:rsidRPr="00000000">
        <w:rPr>
          <w:b w:val="1"/>
          <w:i w:val="1"/>
          <w:rtl w:val="0"/>
        </w:rPr>
        <w:t xml:space="preserve">41  учнів).</w:t>
      </w:r>
      <w:r w:rsidDel="00000000" w:rsidR="00000000" w:rsidRPr="00000000">
        <w:rPr>
          <w:rtl w:val="0"/>
        </w:rPr>
        <w:t xml:space="preserve"> З </w:t>
      </w:r>
      <w:r w:rsidDel="00000000" w:rsidR="00000000" w:rsidRPr="00000000">
        <w:rPr>
          <w:b w:val="1"/>
          <w:i w:val="1"/>
          <w:rtl w:val="0"/>
        </w:rPr>
        <w:t xml:space="preserve">трьох </w:t>
      </w:r>
      <w:r w:rsidDel="00000000" w:rsidR="00000000" w:rsidRPr="00000000">
        <w:rPr>
          <w:rtl w:val="0"/>
        </w:rPr>
        <w:t xml:space="preserve"> переможців олімпіад: з 11-ого класу – один учень, з  8-ого класу – один учень, з 9-ого  класу – один учень. Дві команди переможці обласного фестивалю та регіонального турніру.  Учні брали участь у Всеукраїнських конкурсах: з математики - «Кенгуру», з інформатики - «Бебрас»;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в онлайн-олімпіаді «На Урок»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(вчителі отримують свідоцтво та подяку за активну участь в організації інтернет-олімпіади).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rtl w:val="0"/>
        </w:rPr>
        <w:t xml:space="preserve">                 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   </w:t>
      </w:r>
      <w:r w:rsidDel="00000000" w:rsidR="00000000" w:rsidRPr="00000000">
        <w:rPr>
          <w:rtl w:val="0"/>
        </w:rPr>
        <w:t xml:space="preserve">Підготували призерів турніру, фестивалю, олімпіад, конкурсу </w:t>
      </w:r>
      <w:r w:rsidDel="00000000" w:rsidR="00000000" w:rsidRPr="00000000">
        <w:rPr>
          <w:b w:val="1"/>
          <w:i w:val="1"/>
          <w:rtl w:val="0"/>
        </w:rPr>
        <w:t xml:space="preserve"> 7 (4) вчителів, що становить 29,16%</w:t>
      </w:r>
      <w:r w:rsidDel="00000000" w:rsidR="00000000" w:rsidRPr="00000000">
        <w:rPr>
          <w:rtl w:val="0"/>
        </w:rPr>
        <w:t xml:space="preserve"> – за    2021/2022 навчальний рік  (від 24 вчителів, які працюють у  6-11-х  класах). </w:t>
      </w:r>
    </w:p>
    <w:p w:rsidR="00000000" w:rsidDel="00000000" w:rsidP="00000000" w:rsidRDefault="00000000" w:rsidRPr="00000000" w14:paraId="0000000E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      Вчителі школи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5 (5)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осіб, що становить </w:t>
      </w:r>
      <w:r w:rsidDel="00000000" w:rsidR="00000000" w:rsidRPr="00000000">
        <w:rPr>
          <w:b w:val="1"/>
          <w:i w:val="1"/>
          <w:rtl w:val="0"/>
        </w:rPr>
        <w:t xml:space="preserve">9,26%</w:t>
      </w:r>
      <w:r w:rsidDel="00000000" w:rsidR="00000000" w:rsidRPr="00000000">
        <w:rPr>
          <w:rtl w:val="0"/>
        </w:rPr>
        <w:t xml:space="preserve"> від загальної кількості вчителів школи  пропагують власні доробки у роботі міських творчих груп, а  саме:</w:t>
      </w:r>
    </w:p>
    <w:p w:rsidR="00000000" w:rsidDel="00000000" w:rsidP="00000000" w:rsidRDefault="00000000" w:rsidRPr="00000000" w14:paraId="0000000F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вчителі початкових класів, «Скарбничка творчих ідей» -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підготовка матеріалів до посібника «Інтегровані завдання ЯДС: QR код 4 клас», 2022 рік;</w:t>
      </w:r>
    </w:p>
    <w:p w:rsidR="00000000" w:rsidDel="00000000" w:rsidP="00000000" w:rsidRDefault="00000000" w:rsidRPr="00000000" w14:paraId="00000010">
      <w:pPr>
        <w:pStyle w:val="Heading2"/>
        <w:spacing w:before="0" w:line="240" w:lineRule="auto"/>
        <w:jc w:val="both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rtl w:val="0"/>
        </w:rPr>
        <w:t xml:space="preserve">          вчителі української мови і літератури та зарубіжної літератури  взяли участь  у комплексній роботі по підготовці освітнього проєкту «Оцінювання, аналітика та прогнозування якості освіти засобами ІКТ», лютий 2022 року при КУ «Центр професійного розвитку педагогічних працівників» Черкаської міської ради.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       Вчителі школи мають друковані матеріали: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           – вісник Черкаського університету № 4. Серія педагогічні науки, стаття «Роль теоретичних знань із лексикології у збагаченні мовлення молодших школярів», 2022 рік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ЗМІ «Суспільне» про школу. Робота з проєктами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https://suspilne.media/206117-na-krilah-uspihu-tretoklasniki-cerkaskoi-skoli-na-urokah-zahisaut-proekti/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       Маємо свою сторінку у Fb.</w:t>
      </w:r>
    </w:p>
    <w:p w:rsidR="00000000" w:rsidDel="00000000" w:rsidP="00000000" w:rsidRDefault="00000000" w:rsidRPr="00000000" w14:paraId="00000015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Вчителі працюють у інформаційному середовищі HUMAN, працюють із  мережевими сервісами Google Meet GSuite, комунікаційними платформами Viber, Zoom,Telegram та інші.</w:t>
      </w:r>
    </w:p>
    <w:p w:rsidR="00000000" w:rsidDel="00000000" w:rsidP="00000000" w:rsidRDefault="00000000" w:rsidRPr="00000000" w14:paraId="00000016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Відповідно до річного плану закладу загальної середньої освіти у кінці 2021/2022 навчального року було проведено моніторинг результатів діяльності учасників освітнього процесу (навчальна) учнів 5-11-х класів. Методами дослідження під час моніторингу були: опитування (анкетування), спостереження за освітнім процесом; аналіз даних за встановленими у закладі формами звітності, а саме: звіт вчителя-предметника; звіт класного керівника; звіт про виконання навчальних планів та програм. Моніторинг проводився у формі опосередкованого одержання інформації  з використання сучасних технологій. Забезпечення форм звітності було зроблено через заповнення Google таблиць. </w:t>
      </w:r>
    </w:p>
    <w:p w:rsidR="00000000" w:rsidDel="00000000" w:rsidP="00000000" w:rsidRDefault="00000000" w:rsidRPr="00000000" w14:paraId="00000017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З предметів філологічного циклу: якість знань із зарубіжної літератури  </w:t>
      </w:r>
      <w:r w:rsidDel="00000000" w:rsidR="00000000" w:rsidRPr="00000000">
        <w:rPr>
          <w:b w:val="1"/>
          <w:rtl w:val="0"/>
        </w:rPr>
        <w:t xml:space="preserve">74,9</w:t>
      </w:r>
      <w:r w:rsidDel="00000000" w:rsidR="00000000" w:rsidRPr="00000000">
        <w:rPr>
          <w:rtl w:val="0"/>
        </w:rPr>
        <w:t xml:space="preserve">% (66,7%) (на 8,2% більше показника минулого року), з англійської мови – </w:t>
      </w:r>
      <w:r w:rsidDel="00000000" w:rsidR="00000000" w:rsidRPr="00000000">
        <w:rPr>
          <w:b w:val="1"/>
          <w:rtl w:val="0"/>
        </w:rPr>
        <w:t xml:space="preserve">75,48</w:t>
      </w:r>
      <w:r w:rsidDel="00000000" w:rsidR="00000000" w:rsidRPr="00000000">
        <w:rPr>
          <w:rtl w:val="0"/>
        </w:rPr>
        <w:t xml:space="preserve">% (69,77%) (на 5,71% більше минулорічного показника), з української мови та літератури </w:t>
      </w:r>
      <w:r w:rsidDel="00000000" w:rsidR="00000000" w:rsidRPr="00000000">
        <w:rPr>
          <w:b w:val="1"/>
          <w:rtl w:val="0"/>
        </w:rPr>
        <w:t xml:space="preserve">60,23%</w:t>
      </w:r>
      <w:r w:rsidDel="00000000" w:rsidR="00000000" w:rsidRPr="00000000">
        <w:rPr>
          <w:rtl w:val="0"/>
        </w:rPr>
        <w:t xml:space="preserve"> (61,17%) (на 0,94% менше від показника минулого року). </w:t>
      </w:r>
    </w:p>
    <w:p w:rsidR="00000000" w:rsidDel="00000000" w:rsidP="00000000" w:rsidRDefault="00000000" w:rsidRPr="00000000" w14:paraId="00000018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Освітня галузь «Суспільствознавство» -  якість знань  </w:t>
      </w:r>
      <w:r w:rsidDel="00000000" w:rsidR="00000000" w:rsidRPr="00000000">
        <w:rPr>
          <w:b w:val="1"/>
          <w:rtl w:val="0"/>
        </w:rPr>
        <w:t xml:space="preserve">80,3%</w:t>
      </w:r>
      <w:r w:rsidDel="00000000" w:rsidR="00000000" w:rsidRPr="00000000">
        <w:rPr>
          <w:rtl w:val="0"/>
        </w:rPr>
        <w:t xml:space="preserve"> (71,70%)        (на 8,6% більше минулорічного показника).</w:t>
      </w:r>
    </w:p>
    <w:p w:rsidR="00000000" w:rsidDel="00000000" w:rsidP="00000000" w:rsidRDefault="00000000" w:rsidRPr="00000000" w14:paraId="00000019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З предметів природничого циклу якість знань </w:t>
      </w:r>
      <w:r w:rsidDel="00000000" w:rsidR="00000000" w:rsidRPr="00000000">
        <w:rPr>
          <w:b w:val="1"/>
          <w:rtl w:val="0"/>
        </w:rPr>
        <w:t xml:space="preserve">65,43% </w:t>
      </w:r>
      <w:r w:rsidDel="00000000" w:rsidR="00000000" w:rsidRPr="00000000">
        <w:rPr>
          <w:rtl w:val="0"/>
        </w:rPr>
        <w:t xml:space="preserve">(62,90%) (на 2,53% більше минулорічного показника). </w:t>
      </w:r>
    </w:p>
    <w:p w:rsidR="00000000" w:rsidDel="00000000" w:rsidP="00000000" w:rsidRDefault="00000000" w:rsidRPr="00000000" w14:paraId="0000001A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З предметів математичного циклу якість знань </w:t>
      </w:r>
      <w:r w:rsidDel="00000000" w:rsidR="00000000" w:rsidRPr="00000000">
        <w:rPr>
          <w:b w:val="1"/>
          <w:rtl w:val="0"/>
        </w:rPr>
        <w:t xml:space="preserve">58,47%</w:t>
      </w:r>
      <w:r w:rsidDel="00000000" w:rsidR="00000000" w:rsidRPr="00000000">
        <w:rPr>
          <w:rtl w:val="0"/>
        </w:rPr>
        <w:t xml:space="preserve"> (51,33%) (на 7,14% більше від минулорічного показника).</w:t>
      </w:r>
    </w:p>
    <w:p w:rsidR="00000000" w:rsidDel="00000000" w:rsidP="00000000" w:rsidRDefault="00000000" w:rsidRPr="00000000" w14:paraId="0000001B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Якість знань з освітньої галузі «Технології» - інформатика </w:t>
      </w:r>
      <w:r w:rsidDel="00000000" w:rsidR="00000000" w:rsidRPr="00000000">
        <w:rPr>
          <w:b w:val="1"/>
          <w:rtl w:val="0"/>
        </w:rPr>
        <w:t xml:space="preserve">86,73%</w:t>
      </w:r>
      <w:r w:rsidDel="00000000" w:rsidR="00000000" w:rsidRPr="00000000">
        <w:rPr>
          <w:rtl w:val="0"/>
        </w:rPr>
        <w:t xml:space="preserve"> (94,32%) (на 7,59 % менше минулого року), «Технології» - трудове навчання </w:t>
      </w:r>
      <w:r w:rsidDel="00000000" w:rsidR="00000000" w:rsidRPr="00000000">
        <w:rPr>
          <w:b w:val="1"/>
          <w:rtl w:val="0"/>
        </w:rPr>
        <w:t xml:space="preserve">88,04%</w:t>
      </w:r>
      <w:r w:rsidDel="00000000" w:rsidR="00000000" w:rsidRPr="00000000">
        <w:rPr>
          <w:rtl w:val="0"/>
        </w:rPr>
        <w:t xml:space="preserve"> (87,85%) (на 0,59 % більше минулого року),  з освітньої галузі «Мистецтво» </w:t>
      </w:r>
      <w:r w:rsidDel="00000000" w:rsidR="00000000" w:rsidRPr="00000000">
        <w:rPr>
          <w:b w:val="1"/>
          <w:rtl w:val="0"/>
        </w:rPr>
        <w:t xml:space="preserve">85,69</w:t>
      </w:r>
      <w:r w:rsidDel="00000000" w:rsidR="00000000" w:rsidRPr="00000000">
        <w:rPr>
          <w:rtl w:val="0"/>
        </w:rPr>
        <w:t xml:space="preserve">% (96,73%) (на 11,04 % менше минулого року), «Здоров’я і фізична культура» - </w:t>
      </w:r>
      <w:r w:rsidDel="00000000" w:rsidR="00000000" w:rsidRPr="00000000">
        <w:rPr>
          <w:b w:val="1"/>
          <w:rtl w:val="0"/>
        </w:rPr>
        <w:t xml:space="preserve">86,28%</w:t>
      </w:r>
      <w:r w:rsidDel="00000000" w:rsidR="00000000" w:rsidRPr="00000000">
        <w:rPr>
          <w:rtl w:val="0"/>
        </w:rPr>
        <w:t xml:space="preserve"> (85,26 %) (на 1,02 % більше минулорічного показника).</w:t>
      </w:r>
    </w:p>
    <w:p w:rsidR="00000000" w:rsidDel="00000000" w:rsidP="00000000" w:rsidRDefault="00000000" w:rsidRPr="00000000" w14:paraId="0000001C">
      <w:pPr>
        <w:ind w:firstLine="851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У школі ІІ ступеня</w:t>
      </w:r>
      <w:r w:rsidDel="00000000" w:rsidR="00000000" w:rsidRPr="00000000">
        <w:rPr>
          <w:rtl w:val="0"/>
        </w:rPr>
        <w:t xml:space="preserve"> навчається 333 (329) учні, з  них  високий  рівень навчальних досягнень мають – 19 (12)  учнів (5,71%), достатній – 108  (99) учнів  (32,43%), середній – 157 (169) учнів (47,15%) та початковий рівень навчальних досягнень – 49 (49) учнів (14,71%), що на 0,18% менше, ніж  минулого року. Одну оцінку початкового рівня мають 19 (12) учнів (5,71%). Одну оцінку середнього рівня мають 23 (33) учні (6,90%), одну оцінку достатнього рівня мають 0 (1) учнів. Кількість учнів, що мають початковий рівень навчальних досягнень: у 7-Б класі та    8-Б класі – по 7 учнів; у 5-А класі та 6-І класі – по 6 учнів; у 6-А класі та 8-Е класі – по 4 учні; у 7-Е класі, 7-І класі, 8-І класі, 9-А класі  – по 3 учні; у 9-І класі – 2 учні;  у 5-І класі – 1  учень.  Якість знань складає 38,13% - 127 (111) учнів, що на 4,39% більше якості знань минулого року.  Абсолютна успішність складає 85,29% - 284 (280) учні, що на 0,19% більше минулорічного показника.</w:t>
      </w:r>
    </w:p>
    <w:p w:rsidR="00000000" w:rsidDel="00000000" w:rsidP="00000000" w:rsidRDefault="00000000" w:rsidRPr="00000000" w14:paraId="0000001D">
      <w:pPr>
        <w:ind w:firstLine="851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У школі ІІІ ступеня</w:t>
      </w:r>
      <w:r w:rsidDel="00000000" w:rsidR="00000000" w:rsidRPr="00000000">
        <w:rPr>
          <w:rtl w:val="0"/>
        </w:rPr>
        <w:t xml:space="preserve"> навчається 71 (75) учень, з них високий рівень навчальних досягнень мають 4 (3) (5,63%) учні, достатній рівень – у 18 (24) (25,35%) учнів, навчаються на середньому рівні – 39 (37) учнів (54,93%), мають початковий рівень навчальних досягнень – 10 (11) (14,08%) учнів, що на 0,59% менше від показника минулого року. Одну оцінку початкового рівня мають 5 (6) учнів (7,04%). Одну оцінку середнього рівня мають 9 (5) учнів (12,68%), одну оцінку достатнього рівня має 1 (3) учень (1,41%). Початковий рівень навчальних досягнень мають 5 учнів 11-І класу та  5 учнів 10-Е класу, в учнів 10-І класу 100% успішність.</w:t>
      </w:r>
    </w:p>
    <w:p w:rsidR="00000000" w:rsidDel="00000000" w:rsidP="00000000" w:rsidRDefault="00000000" w:rsidRPr="00000000" w14:paraId="0000001E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Якість знань  складає 85,92% - 61 учень (на 0,59% більше від минулого року), абсолютна успішність у 22 (27) учнів –30,99% (на 5,01% менше від минулого року).</w:t>
      </w:r>
    </w:p>
    <w:p w:rsidR="00000000" w:rsidDel="00000000" w:rsidP="00000000" w:rsidRDefault="00000000" w:rsidRPr="00000000" w14:paraId="0000001F">
      <w:pPr>
        <w:ind w:firstLine="851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Всього  у школі ІІ-ІІІ ступеня</w:t>
      </w:r>
      <w:r w:rsidDel="00000000" w:rsidR="00000000" w:rsidRPr="00000000">
        <w:rPr>
          <w:rtl w:val="0"/>
        </w:rPr>
        <w:t xml:space="preserve"> за 2021/2022 навчальний рік оцінено 404 здобувача освіти. Якість знань складає 36,88% - 149 (138) учнів, що на 2,72% більше від якості минулого року, успішність складає 85,40%  - 345 (344) учнів (на 0,25% краще від показника минулого року). Високий рівень навчальних досягнень у 23 (15) учнів, що на 1,98% краще від показника минулого року. Можна зробити висновок, що програмовий матеріал із предметів інваріантної складової робочих навчальних планів засвоїли на середньому – 196 (206) учнів (48,51%), достатньому – 126 (123) учнів (31,19%). Відсоток засвоєння матеріалу на початковому рівні складає 14,60%  (59 учнів).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 За навчальний рік не атестованих учнів немає, у першому семестрі </w:t>
      </w:r>
      <w:r w:rsidDel="00000000" w:rsidR="00000000" w:rsidRPr="00000000">
        <w:rPr>
          <w:b w:val="1"/>
          <w:rtl w:val="0"/>
        </w:rPr>
        <w:t xml:space="preserve"> н/а: з</w:t>
      </w:r>
      <w:r w:rsidDel="00000000" w:rsidR="00000000" w:rsidRPr="00000000">
        <w:rPr>
          <w:rtl w:val="0"/>
        </w:rPr>
        <w:t xml:space="preserve"> трьох предметів (всесвітня історія, алгебра, мистецтво) мав один учень. Учні, які мають початковий рівень навчальних досягнень (від 4 до 9 предметів) </w:t>
      </w:r>
      <w:r w:rsidDel="00000000" w:rsidR="00000000" w:rsidRPr="00000000">
        <w:rPr>
          <w:b w:val="1"/>
          <w:i w:val="1"/>
          <w:rtl w:val="0"/>
        </w:rPr>
        <w:t xml:space="preserve">12 (17)  учнів,</w:t>
      </w:r>
      <w:r w:rsidDel="00000000" w:rsidR="00000000" w:rsidRPr="00000000">
        <w:rPr>
          <w:rtl w:val="0"/>
        </w:rPr>
        <w:t xml:space="preserve"> що становить </w:t>
      </w:r>
      <w:r w:rsidDel="00000000" w:rsidR="00000000" w:rsidRPr="00000000">
        <w:rPr>
          <w:b w:val="1"/>
          <w:i w:val="1"/>
          <w:rtl w:val="0"/>
        </w:rPr>
        <w:t xml:space="preserve">2,97%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      У школі навчалися учні із тимчасово окупованих територій, із зони бойових дій, а саме: учнів 1-4-х класів – 10 осіб, учнів 5-11-х класів – 7 осіб. Учениця 9-А класу ВПО отримала свідоцтво про здобуття базової середньої освіти у нашому закладі освіти.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b w:val="1"/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Додаток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Вчителі, які  підготували призерів конкурсів, олімпіад  2021/2022  навчальний рік</w:t>
      </w:r>
    </w:p>
    <w:tbl>
      <w:tblPr>
        <w:tblStyle w:val="Table1"/>
        <w:tblW w:w="1121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6"/>
        <w:gridCol w:w="1701"/>
        <w:gridCol w:w="2410"/>
        <w:gridCol w:w="1037"/>
        <w:gridCol w:w="2223"/>
        <w:gridCol w:w="1843"/>
        <w:tblGridChange w:id="0">
          <w:tblGrid>
            <w:gridCol w:w="1996"/>
            <w:gridCol w:w="1701"/>
            <w:gridCol w:w="2410"/>
            <w:gridCol w:w="1037"/>
            <w:gridCol w:w="2223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Вчитель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Конкурси  (місто)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Олімпіади (місто)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Турніри. Фестивалі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Олімпіади Конкурси  (область)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Початкове навчання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Освітня галузь «Мови і літератури»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Одне третє місце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Одне третє місце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Освітня галузь «Суспільствознавство»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50505"/>
                <w:sz w:val="22"/>
                <w:szCs w:val="22"/>
                <w:highlight w:val="white"/>
                <w:rtl w:val="0"/>
              </w:rPr>
              <w:t xml:space="preserve">IV Регіональний турнір із  фінансової грамотності ІІІ місце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Освітня галузь «Мистецтво»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Освітня галузь «Математика»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Освітня галузь «Природознавство»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Освітня галузь «Технології»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Одне третє місце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hd w:fill="ffffff" w:val="clear"/>
              <w:jc w:val="both"/>
              <w:rPr>
                <w:color w:val="050505"/>
                <w:sz w:val="22"/>
                <w:szCs w:val="22"/>
              </w:rPr>
            </w:pPr>
            <w:r w:rsidDel="00000000" w:rsidR="00000000" w:rsidRPr="00000000">
              <w:rPr>
                <w:color w:val="050505"/>
                <w:sz w:val="22"/>
                <w:szCs w:val="22"/>
                <w:rtl w:val="0"/>
              </w:rPr>
              <w:t xml:space="preserve">"RoboTerra обласний фестиваль  ІІ місце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Всього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(2)  місця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 (3) місця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 (0)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6"/>
        <w:gridCol w:w="2365"/>
        <w:gridCol w:w="1192"/>
        <w:gridCol w:w="1371"/>
        <w:gridCol w:w="1706"/>
        <w:tblGridChange w:id="0">
          <w:tblGrid>
            <w:gridCol w:w="3646"/>
            <w:gridCol w:w="2365"/>
            <w:gridCol w:w="1192"/>
            <w:gridCol w:w="1371"/>
            <w:gridCol w:w="17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%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% успішності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індекс успішності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Освітня галузь «Мови і літератури»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Українська мова й література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64.4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98,1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69,1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94,9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64,2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96,7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43.2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87,8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6,3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Зарубіжна література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79,3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7,9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Англійська мова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62,0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95,1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64,7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98,1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7,9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63,0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94,5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96,7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88,9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9,1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D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Освітня галузь «Суспільствознавство»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Історія, економіка</w:t>
            </w:r>
          </w:p>
          <w:p w:rsidR="00000000" w:rsidDel="00000000" w:rsidP="00000000" w:rsidRDefault="00000000" w:rsidRPr="00000000" w14:paraId="000000D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Економіка</w:t>
            </w:r>
          </w:p>
          <w:p w:rsidR="00000000" w:rsidDel="00000000" w:rsidP="00000000" w:rsidRDefault="00000000" w:rsidRPr="00000000" w14:paraId="000000D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Історія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65,0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95,0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95,2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8,8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80,8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8,2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Освітня галузь «Математика»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65,2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96,8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57,7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52,5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94,1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6,7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F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Освітня галузь «Природознавство»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Хімія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65,5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Біологія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60,2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94,4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47,7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84,1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Географія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62,2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94,3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6,9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Фізика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59,9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96,4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60,7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92,9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7,1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2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Освітня галузь «Технології»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Інформатика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82,6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96,9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87,3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85,7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91,3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8,6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Трудове навчання, технології,</w:t>
            </w:r>
          </w:p>
          <w:p w:rsidR="00000000" w:rsidDel="00000000" w:rsidP="00000000" w:rsidRDefault="00000000" w:rsidRPr="00000000" w14:paraId="0000013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образотворче мистецтво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74,1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85,2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97,9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90,6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9,1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4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Освітня галузь «Здоров’я і фізична культура»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Фізична культура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81,9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92,1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97,1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9,4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87,1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9,1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Основи здоров’я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99,3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10,1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Захист України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9,5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6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Освітня галузь «Мистецтво»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Музичне мистецтво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80,3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98,0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8,3</w:t>
            </w:r>
          </w:p>
        </w:tc>
      </w:tr>
    </w:tbl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5" w:left="993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rkasy-school13.e-schools.info/news/153454" TargetMode="External"/><Relationship Id="rId7" Type="http://schemas.openxmlformats.org/officeDocument/2006/relationships/hyperlink" Target="https://suspilne.media/206117-na-krilah-uspihu-tretoklasniki-cerkaskoi-skoli-na-urokah-zahisaut-proe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